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100 КОРПУС 3 ПО УЛ. ШИРОТНОЙ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7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23" w:right="-108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38,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43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систем диспетчеризации (телеметрия)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</w:pPr>
            <w:r>
              <w:rPr/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z w:val="22"/>
                <w:szCs w:val="22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sz w:val="22"/>
                <w:szCs w:val="22"/>
                <w:lang w:val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en-US" w:eastAsia="ru-RU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0,2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0,4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en-US" w:eastAsia="ru-RU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д) содержание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en-US" w:eastAsia="ru-RU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lang w:val="en-US" w:eastAsia="ru-RU"/>
              </w:rPr>
              <w:t>6,27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224</Words>
  <Characters>1485</Characters>
  <CharactersWithSpaces>1660</CharactersWithSpaces>
  <Paragraphs>56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2025-12-02T10:01:16Z</cp:lastPrinted>
  <dcterms:modified xsi:type="dcterms:W3CDTF">2025-12-02T10:01:22Z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